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Este quadro contém o logótipo da Comissão Europeia na coluna da esquerda e informações sobre a entidade organizacional do signatário ou do autor na coluna da direita."/>
      </w:tblPr>
      <w:tblGrid>
        <w:gridCol w:w="2400"/>
        <w:gridCol w:w="7080"/>
      </w:tblGrid>
      <w:sdt>
        <w:sdtPr>
          <w:rPr>
            <w:sz w:val="16"/>
          </w:rPr>
          <w:alias w:val="Cabeçalho da CE - Formato normalizado"/>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color w:val="2B579A"/>
                    <w:shd w:val="clear" w:color="auto" w:fill="E6E6E6"/>
                  </w:rPr>
                  <w:drawing>
                    <wp:inline distT="0" distB="0" distL="0" distR="0" wp14:anchorId="528B0FAA" wp14:editId="3BE4CA6B">
                      <wp:extent cx="1371600" cy="676800"/>
                      <wp:effectExtent l="0" t="0" r="0" b="0"/>
                      <wp:docPr id="1" name="Picture 1" descr="Logótipo da Comissão Europeia, 12 estrelas amarelas sobre fundo azul dispostas em círculo e enquadradas por dois elementos gráficos cinzentos-claros que representam o edifício Berlaymont, sede da Comissão Europ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954723">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t xml:space="preserve">COMISSÃO EUROPEIA</w:t>
                    </w:r>
                  </w:sdtContent>
                </w:sdt>
              </w:p>
              <w:p w14:paraId="2074A464" w14:textId="39B41681" w:rsidR="00FE373C" w:rsidRPr="007F14FC" w:rsidRDefault="00954723">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Pr>
                        <w:caps/>
                      </w:rPr>
                      <w:t xml:space="preserve">DIREÇÃO-GERAL do emprego, dos assuntos sociais e da inclusão</w:t>
                    </w:r>
                  </w:sdtContent>
                </w:sdt>
              </w:p>
              <w:p w14:paraId="35D34AB3" w14:textId="77777777" w:rsidR="00FE373C" w:rsidRPr="007F14FC" w:rsidRDefault="00FE373C">
                <w:pPr>
                  <w:pStyle w:val="ZDGName"/>
                </w:pPr>
              </w:p>
              <w:p w14:paraId="05E57B9D" w14:textId="4CD0133A" w:rsidR="00FE373C" w:rsidRPr="007F14FC" w:rsidRDefault="00954723">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t xml:space="preserve">Direção E – Mobilidade dos Trabalhadores e Assuntos Internacionais</w:t>
                    </w:r>
                  </w:sdtContent>
                </w:sdt>
              </w:p>
              <w:p w14:paraId="4FC3ED8E" w14:textId="657E7308" w:rsidR="00FE373C" w:rsidRPr="007F14FC" w:rsidRDefault="00954723"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Pr>
                        <w:b/>
                      </w:rPr>
                      <w:t xml:space="preserve">Unidade E1 – Mobilidade Laboral, Serviços Públicos de Emprego, AET</w:t>
                    </w:r>
                  </w:sdtContent>
                </w:sdt>
              </w:p>
            </w:tc>
          </w:tr>
        </w:sdtContent>
      </w:sdt>
    </w:tbl>
    <w:p w14:paraId="40810E1C" w14:textId="615BFA28" w:rsidR="007F14FC" w:rsidRPr="00B95F32" w:rsidRDefault="007F14FC" w:rsidP="001F4C2B">
      <w:pPr>
        <w:pStyle w:val="Heading2"/>
      </w:pPr>
      <w:r>
        <w:t xml:space="preserve">Declaração de acessibilidade para o Europass</w:t>
      </w:r>
    </w:p>
    <w:p w14:paraId="4078DA32" w14:textId="740123A6" w:rsidR="007F14FC" w:rsidRPr="007F14FC" w:rsidRDefault="35E89FFF" w:rsidP="007F14FC">
      <w:pPr>
        <w:pStyle w:val="Text1"/>
        <w:ind w:left="0"/>
      </w:pPr>
      <w:r>
        <w:t xml:space="preserve">Esta declaração aplica-se aos conteúdos publicados no domínio </w:t>
      </w:r>
      <w:hyperlink r:id="rId12">
        <w:r>
          <w:rPr>
            <w:rStyle w:val="Hyperlink"/>
          </w:rPr>
          <w:t xml:space="preserve">https://europa.eu/europass</w:t>
        </w:r>
      </w:hyperlink>
      <w:r>
        <w:t xml:space="preserve"> e em todos os seus subdomínios.</w:t>
      </w:r>
      <w:r>
        <w:t xml:space="preserve"> </w:t>
      </w:r>
    </w:p>
    <w:p w14:paraId="54D3743B" w14:textId="6748B4D5" w:rsidR="007F14FC" w:rsidRPr="007F14FC" w:rsidRDefault="35E89FFF" w:rsidP="007F14FC">
      <w:pPr>
        <w:pStyle w:val="Text1"/>
        <w:ind w:left="0"/>
      </w:pPr>
      <w:r>
        <w:t xml:space="preserve">Este sítio Web é gerido pela Unidade E1 da DG EMPL e foi concebido para ser utilizado pelo maior número possível de pessoas, incluindo pessoas com deficiência.</w:t>
      </w:r>
    </w:p>
    <w:p w14:paraId="4F1ECE61" w14:textId="77777777" w:rsidR="00E35A7A" w:rsidRPr="007F14FC" w:rsidRDefault="00E35A7A" w:rsidP="00E35A7A">
      <w:r>
        <w:t xml:space="preserve">Os utilizadores devem poder:</w:t>
      </w:r>
    </w:p>
    <w:p w14:paraId="1F89F2F7" w14:textId="14FAC846" w:rsidR="00225512" w:rsidRPr="00AF1993" w:rsidRDefault="00AC4598" w:rsidP="009D007D">
      <w:pPr>
        <w:pStyle w:val="ListParagraph"/>
        <w:numPr>
          <w:ilvl w:val="0"/>
          <w:numId w:val="38"/>
        </w:numPr>
      </w:pPr>
      <w:r>
        <w:t xml:space="preserve">ampliar a imagem até 200 % sem dificuldade,</w:t>
      </w:r>
    </w:p>
    <w:p w14:paraId="0A3AB54A" w14:textId="77777777" w:rsidR="00225512" w:rsidRPr="00AF1993" w:rsidRDefault="00225512" w:rsidP="00225512">
      <w:pPr>
        <w:pStyle w:val="ListParagraph"/>
        <w:numPr>
          <w:ilvl w:val="0"/>
          <w:numId w:val="38"/>
        </w:numPr>
      </w:pPr>
      <w:r>
        <w:t xml:space="preserve">navegar na maior parte do sítio Web utilizando apenas um teclado,</w:t>
      </w:r>
    </w:p>
    <w:p w14:paraId="520AE6B3" w14:textId="105D7D13" w:rsidR="000126E5" w:rsidRPr="00AF1993" w:rsidRDefault="00225512" w:rsidP="009D007D">
      <w:pPr>
        <w:pStyle w:val="ListParagraph"/>
        <w:numPr>
          <w:ilvl w:val="0"/>
          <w:numId w:val="33"/>
        </w:numPr>
      </w:pPr>
      <w:r>
        <w:t xml:space="preserve">navegar na maior parte do sítio Web utilizando um leitor de ecrã moderno e </w:t>
      </w:r>
      <w:r>
        <w:rPr>
          <w:i/>
          <w:iCs/>
        </w:rPr>
        <w:t xml:space="preserve">software</w:t>
      </w:r>
      <w:r>
        <w:t xml:space="preserve"> de reconhecimento de voz (no seu computador ou telefone)]</w:t>
      </w:r>
      <w:r>
        <w:t xml:space="preserve"> </w:t>
      </w:r>
    </w:p>
    <w:p w14:paraId="1A4510C6" w14:textId="3A06EEAA" w:rsidR="00E35A7A" w:rsidRPr="007F14FC" w:rsidRDefault="00E35A7A" w:rsidP="000126E5">
      <w:r>
        <w:t xml:space="preserve">Este sítio Web foi desenvolvido em conformidade com a </w:t>
      </w:r>
      <w:hyperlink r:id="rId13">
        <w:r>
          <w:rPr>
            <w:color w:val="0563C1" w:themeColor="hyperlink"/>
            <w:u w:val="single"/>
          </w:rPr>
          <w:t xml:space="preserve">norma técnica para sítios Web e aplicações móveis EN 301 549, versão 3.2.1</w:t>
        </w:r>
      </w:hyperlink>
      <w:r>
        <w:t xml:space="preserve">,</w:t>
      </w:r>
      <w:r>
        <w:t xml:space="preserve"> </w:t>
      </w:r>
      <w:r>
        <w:t xml:space="preserve">que é equivalente ao nível «AA» das </w:t>
      </w:r>
      <w:hyperlink r:id="rId14">
        <w:r>
          <w:rPr>
            <w:color w:val="0563C1" w:themeColor="hyperlink"/>
            <w:u w:val="single"/>
          </w:rPr>
          <w:t xml:space="preserve">diretrizes sobre a acessibilidade dos conteúdos Web (</w:t>
        </w:r>
        <w:r>
          <w:rPr>
            <w:color w:val="0563C1" w:themeColor="hyperlink"/>
            <w:u w:val="single"/>
            <w:i/>
            <w:iCs/>
          </w:rPr>
          <w:t xml:space="preserve">Web Content Accessibility Guidelines</w:t>
        </w:r>
        <w:r>
          <w:rPr>
            <w:color w:val="0563C1" w:themeColor="hyperlink"/>
            <w:u w:val="single"/>
          </w:rPr>
          <w:t xml:space="preserve"> – WCAG), versão 2.1</w:t>
        </w:r>
      </w:hyperlink>
      <w:r>
        <w:t xml:space="preserve">.</w:t>
      </w:r>
    </w:p>
    <w:p w14:paraId="66A12D4E" w14:textId="77777777" w:rsidR="00E35A7A" w:rsidRPr="00E35A7A" w:rsidRDefault="00E35A7A" w:rsidP="00E35A7A">
      <w:pPr>
        <w:keepNext/>
        <w:spacing w:after="0"/>
        <w:jc w:val="left"/>
        <w:outlineLvl w:val="1"/>
        <w:rPr>
          <w:b/>
        </w:rPr>
      </w:pPr>
      <w:r>
        <w:rPr>
          <w:b/>
        </w:rPr>
        <w:t xml:space="preserve">Estado de conformidade</w:t>
      </w:r>
      <w:r>
        <w:rPr>
          <w:b/>
        </w:rPr>
        <w:br/>
      </w:r>
    </w:p>
    <w:p w14:paraId="66C3D011" w14:textId="6AC3AC33" w:rsidR="00225512" w:rsidRPr="00E84E56" w:rsidRDefault="0AC43EA8" w:rsidP="00225512">
      <w:r>
        <w:t xml:space="preserve">Este sítio Web está parcialmente </w:t>
      </w:r>
      <w:r>
        <w:rPr>
          <w:b/>
          <w:bCs/>
        </w:rPr>
        <w:t xml:space="preserve">em conformidade</w:t>
      </w:r>
      <w:r>
        <w:t xml:space="preserve"> com a </w:t>
      </w:r>
      <w:hyperlink r:id="rId15">
        <w:r>
          <w:rPr>
            <w:rStyle w:val="Hyperlink"/>
          </w:rPr>
          <w:t xml:space="preserve">norma técnica EN 301 549, versão 3.2.1</w:t>
        </w:r>
      </w:hyperlink>
      <w:r>
        <w:t xml:space="preserve"> e com as </w:t>
      </w:r>
      <w:hyperlink r:id="rId16">
        <w:r>
          <w:rPr>
            <w:rStyle w:val="Hyperlink"/>
          </w:rPr>
          <w:t xml:space="preserve">diretrizes sobre a acessibilidade dos conteúdos Web (</w:t>
        </w:r>
        <w:r>
          <w:rPr>
            <w:rStyle w:val="Hyperlink"/>
            <w:i/>
            <w:iCs/>
          </w:rPr>
          <w:t xml:space="preserve">Web Content Accessibility Guidelines</w:t>
        </w:r>
        <w:r>
          <w:rPr>
            <w:rStyle w:val="Hyperlink"/>
          </w:rPr>
          <w:t xml:space="preserve"> – WCAG), versão 2.1, nível AA</w:t>
        </w:r>
      </w:hyperlink>
      <w:r>
        <w:t xml:space="preserve">.</w:t>
      </w:r>
      <w:r>
        <w:t xml:space="preserve"> </w:t>
      </w:r>
      <w:r>
        <w:t xml:space="preserve">Para mais informações, ver «</w:t>
      </w:r>
      <w:hyperlink w:anchor="_Non-accessible_content">
        <w:r>
          <w:rPr>
            <w:rStyle w:val="Hyperlink"/>
          </w:rPr>
          <w:t xml:space="preserve">Conteúdos não acessíveis</w:t>
        </w:r>
      </w:hyperlink>
      <w:r>
        <w:t xml:space="preserve">».</w:t>
      </w:r>
    </w:p>
    <w:p w14:paraId="4146F897" w14:textId="0C4BE212" w:rsidR="00E35A7A" w:rsidRPr="007F14FC" w:rsidRDefault="00E35A7A" w:rsidP="00E35A7A">
      <w:r>
        <w:t xml:space="preserve">O sítio Web foi testado pela última vez em abril de 2023.</w:t>
      </w:r>
    </w:p>
    <w:p w14:paraId="5ABBA2F4" w14:textId="77777777" w:rsidR="00E35A7A" w:rsidRPr="00E35A7A" w:rsidRDefault="00E35A7A" w:rsidP="00E35A7A">
      <w:pPr>
        <w:keepNext/>
        <w:spacing w:after="0"/>
        <w:jc w:val="left"/>
        <w:outlineLvl w:val="1"/>
        <w:rPr>
          <w:b/>
        </w:rPr>
      </w:pPr>
      <w:r>
        <w:rPr>
          <w:b/>
        </w:rPr>
        <w:t xml:space="preserve">Elaboração da presente declaração</w:t>
      </w:r>
    </w:p>
    <w:p w14:paraId="6B674C45" w14:textId="4612CB79" w:rsidR="00E35A7A" w:rsidRDefault="00E35A7A" w:rsidP="00E35A7A">
      <w:r>
        <w:br/>
      </w:r>
      <w:r>
        <w:t xml:space="preserve">A presente declaração foi revista em 15 de dezembro de 2023.</w:t>
      </w:r>
    </w:p>
    <w:p w14:paraId="2918FEE8" w14:textId="77777777" w:rsidR="00E35A7A" w:rsidRPr="00E35A7A" w:rsidRDefault="00E35A7A" w:rsidP="00E35A7A">
      <w:pPr>
        <w:keepNext/>
        <w:spacing w:after="0"/>
        <w:jc w:val="left"/>
        <w:outlineLvl w:val="1"/>
        <w:rPr>
          <w:b/>
        </w:rPr>
      </w:pPr>
      <w:r>
        <w:rPr>
          <w:b/>
        </w:rPr>
        <w:t xml:space="preserve">Comentários</w:t>
      </w:r>
    </w:p>
    <w:p w14:paraId="3EF7E625" w14:textId="563019B3" w:rsidR="00E35A7A" w:rsidRPr="007F14FC" w:rsidRDefault="00E35A7A" w:rsidP="00E35A7A">
      <w:r>
        <w:br/>
      </w:r>
      <w:r>
        <w:t xml:space="preserve">Partilhe a sua opinião sobre a acessibilidade do sítio Web do Europass.</w:t>
      </w:r>
      <w:r>
        <w:t xml:space="preserve"> </w:t>
      </w:r>
      <w:r>
        <w:t xml:space="preserve">Contacte-nos se encontrar obstáculos relacionados com a acessibilidade:</w:t>
      </w:r>
    </w:p>
    <w:p w14:paraId="4744E771" w14:textId="5A871DF4" w:rsidR="00E35A7A" w:rsidRPr="00EC59D7" w:rsidRDefault="00225512" w:rsidP="009D007D">
      <w:pPr>
        <w:numPr>
          <w:ilvl w:val="0"/>
          <w:numId w:val="23"/>
        </w:numPr>
        <w:ind w:left="720"/>
      </w:pPr>
      <w:r>
        <w:t xml:space="preserve">Telefone:</w:t>
      </w:r>
      <w:r>
        <w:t xml:space="preserve"> </w:t>
      </w:r>
      <w:r>
        <w:rPr>
          <w:b/>
          <w:bCs/>
        </w:rPr>
        <w:t xml:space="preserve">00 800 6 7 8 9 10 11</w:t>
      </w:r>
      <w:r>
        <w:t xml:space="preserve"> a partir de qualquer sítio na UE, em dias úteis entre as 09:00 e as 18:00 CET (hora da Europa Central) em qualquer língua da UE* (chamadas gratuita).</w:t>
      </w:r>
      <w:r>
        <w:t xml:space="preserve"> </w:t>
      </w:r>
    </w:p>
    <w:p w14:paraId="6EAA89C5" w14:textId="3B41C853" w:rsidR="00EC59D7" w:rsidRPr="00EC59D7" w:rsidRDefault="00E35A7A" w:rsidP="5AC6E6F2">
      <w:pPr>
        <w:numPr>
          <w:ilvl w:val="0"/>
          <w:numId w:val="23"/>
        </w:numPr>
        <w:ind w:left="720"/>
        <w:rPr>
          <w:rStyle w:val="Hyperlink"/>
        </w:rPr>
      </w:pPr>
      <w:r>
        <w:t xml:space="preserve">Formulário de comentários:</w:t>
      </w:r>
      <w:r>
        <w:t xml:space="preserve"> </w:t>
      </w:r>
      <w:r>
        <w:t xml:space="preserve">Envie-nos os seus comentários através do </w:t>
      </w:r>
      <w:hyperlink r:id="rId17">
        <w:r>
          <w:rPr>
            <w:rStyle w:val="Hyperlink"/>
          </w:rPr>
          <w:t xml:space="preserve">formulário de contacto do Europass</w:t>
        </w:r>
      </w:hyperlink>
      <w:r>
        <w:t xml:space="preserve">.</w:t>
      </w:r>
    </w:p>
    <w:p w14:paraId="73D4BBF7" w14:textId="5F54F931" w:rsidR="00E35A7A" w:rsidRDefault="00E35A7A" w:rsidP="00EC59D7">
      <w:r>
        <w:t xml:space="preserve">Procuraremos responder-lhe no prazo de 15 dias úteis, a contar a partir da data de receção da sua mensagem pelo serviço competente da Comissão.</w:t>
      </w:r>
    </w:p>
    <w:p w14:paraId="433BF82E" w14:textId="77777777" w:rsidR="00EC7351" w:rsidRPr="00EC7351" w:rsidRDefault="00EC7351" w:rsidP="00EC7351">
      <w:pPr>
        <w:keepNext/>
        <w:spacing w:after="0"/>
        <w:jc w:val="left"/>
        <w:outlineLvl w:val="1"/>
        <w:rPr>
          <w:b/>
        </w:rPr>
      </w:pPr>
      <w:r>
        <w:rPr>
          <w:b/>
        </w:rPr>
        <w:t xml:space="preserve">Compatibilidade com navegadores e tecnologias de apoio</w:t>
      </w:r>
    </w:p>
    <w:p w14:paraId="6EACC384" w14:textId="0AEFAC39" w:rsidR="00EC7351" w:rsidRPr="007F14FC" w:rsidRDefault="00EC7351" w:rsidP="00EC7351">
      <w:pPr>
        <w:jc w:val="left"/>
      </w:pPr>
      <w:r>
        <w:br/>
      </w:r>
      <w:r>
        <w:t xml:space="preserve">O sítio Web do Europass foi concebido para ser compatível com as seguintes tecnologias de apoio mais comummente utilizadas:</w:t>
      </w:r>
    </w:p>
    <w:p w14:paraId="1F6174D7" w14:textId="6B07A09C" w:rsidR="000338C5" w:rsidRPr="0052454F" w:rsidRDefault="5DCDB69A" w:rsidP="35D7FFF2">
      <w:pPr>
        <w:numPr>
          <w:ilvl w:val="0"/>
          <w:numId w:val="34"/>
        </w:numPr>
        <w:spacing w:after="100" w:afterAutospacing="1"/>
        <w:jc w:val="left"/>
      </w:pPr>
      <w:r>
        <w:t xml:space="preserve">as últimas versões dos navegadores Google Chrome, Mozilla Firefox e Microsoft Edge,</w:t>
      </w:r>
    </w:p>
    <w:p w14:paraId="3239328D" w14:textId="709706EC" w:rsidR="00785A54" w:rsidRDefault="5DCDB69A" w:rsidP="35D7FFF2">
      <w:pPr>
        <w:numPr>
          <w:ilvl w:val="0"/>
          <w:numId w:val="34"/>
        </w:numPr>
        <w:spacing w:before="100" w:beforeAutospacing="1" w:after="100" w:afterAutospacing="1"/>
        <w:jc w:val="left"/>
      </w:pPr>
      <w:r>
        <w:t xml:space="preserve"> </w:t>
      </w:r>
      <w:r>
        <w:t xml:space="preserve">em combinação com as versões mais recentes das tecnologias de apoio.</w:t>
      </w:r>
      <w:r>
        <w:t xml:space="preserv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 xml:space="preserve">Especificações técnicas</w:t>
      </w:r>
    </w:p>
    <w:p w14:paraId="56C786BB" w14:textId="77777777" w:rsidR="005A7954" w:rsidRDefault="005A7954" w:rsidP="00EC7351"/>
    <w:p w14:paraId="424F62F5" w14:textId="42F9DF13" w:rsidR="00EC7351" w:rsidRPr="007F14FC" w:rsidRDefault="00EC7351" w:rsidP="00EC7351">
      <w:r>
        <w:t xml:space="preserve">A acessibilidade do sítio Web do Europass depende das seguintes tecnologias para funcionar com a combinação específica de programa de navegação Web e quaisquer tecnologias de apoio ou módulos (plug-ins) instalados no seu computador:</w:t>
      </w:r>
    </w:p>
    <w:p w14:paraId="7A942931" w14:textId="77777777" w:rsidR="00EC7351" w:rsidRPr="007F14FC" w:rsidRDefault="00EC7351" w:rsidP="00EC7351">
      <w:pPr>
        <w:numPr>
          <w:ilvl w:val="0"/>
          <w:numId w:val="26"/>
        </w:numPr>
        <w:spacing w:after="0"/>
        <w:ind w:left="1077" w:hanging="357"/>
      </w:pPr>
      <w:r>
        <w:t xml:space="preserve">HTML</w:t>
      </w:r>
    </w:p>
    <w:p w14:paraId="20FD34FD" w14:textId="77777777" w:rsidR="00EC7351" w:rsidRPr="007F14FC" w:rsidRDefault="00EC7351" w:rsidP="00EC7351">
      <w:pPr>
        <w:numPr>
          <w:ilvl w:val="0"/>
          <w:numId w:val="26"/>
        </w:numPr>
        <w:spacing w:after="0"/>
        <w:ind w:left="1077" w:hanging="357"/>
      </w:pPr>
      <w:r>
        <w:t xml:space="preserve">WAI-ARIA</w:t>
      </w:r>
    </w:p>
    <w:p w14:paraId="2CE68EE0" w14:textId="77777777" w:rsidR="00EC7351" w:rsidRPr="007F14FC" w:rsidRDefault="00EC7351" w:rsidP="00EC7351">
      <w:pPr>
        <w:numPr>
          <w:ilvl w:val="0"/>
          <w:numId w:val="26"/>
        </w:numPr>
        <w:spacing w:after="0"/>
        <w:ind w:left="1077" w:hanging="357"/>
      </w:pPr>
      <w:r>
        <w:t xml:space="preserve">CSS</w:t>
      </w:r>
    </w:p>
    <w:p w14:paraId="2403ED5C" w14:textId="77777777" w:rsidR="00EC7351" w:rsidRPr="007F14FC" w:rsidRDefault="00EC7351" w:rsidP="00EC7351">
      <w:pPr>
        <w:numPr>
          <w:ilvl w:val="0"/>
          <w:numId w:val="26"/>
        </w:numPr>
        <w:spacing w:after="0"/>
        <w:ind w:left="1077" w:hanging="357"/>
      </w:pPr>
      <w:r>
        <w:t xml:space="preserve">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 xml:space="preserve">Conteúdos não acessíveis</w:t>
      </w:r>
    </w:p>
    <w:p w14:paraId="65E180EF" w14:textId="5B05AFB9" w:rsidR="00EC7351" w:rsidRDefault="755E7800" w:rsidP="5AC6E6F2">
      <w:pPr>
        <w:spacing w:before="180" w:line="276" w:lineRule="auto"/>
      </w:pPr>
      <w:r>
        <w:t xml:space="preserve">Apesar dos nossos esforços para garantir a acessibilidade do sítio Web do Europass, existem certas limitações, que estamos a tentar corrigir ativamente.</w:t>
      </w:r>
      <w:r>
        <w:t xml:space="preserve"> </w:t>
      </w:r>
      <w:r>
        <w:t xml:space="preserve">Agradecemos a sua compreensão e paciência à medida que trabalhamos para resolver estas questões.</w:t>
      </w:r>
      <w:r>
        <w:t xml:space="preserve"> </w:t>
      </w:r>
      <w:r>
        <w:t xml:space="preserve">Se identificar um problema de acessibilidade não enumerado abaixo, contacte-nos.</w:t>
      </w:r>
    </w:p>
    <w:p w14:paraId="7912D527" w14:textId="3097ED04" w:rsidR="697DA1A5" w:rsidRDefault="160C0568" w:rsidP="200C443E">
      <w:pPr>
        <w:widowControl w:val="0"/>
        <w:spacing w:before="180" w:after="0" w:line="276" w:lineRule="auto"/>
      </w:pPr>
      <w:r>
        <w:rPr>
          <w:b/>
        </w:rPr>
        <w:t xml:space="preserve"> </w:t>
      </w:r>
      <w:r>
        <w:rPr>
          <w:b/>
          <w:bCs/>
        </w:rPr>
        <w:t xml:space="preserve">Limitações conhecidas</w:t>
      </w:r>
      <w:r>
        <w:t xml:space="preserve"> (com resolução prevista até ao final de 2024:</w:t>
      </w:r>
      <w:r>
        <w:t xml:space="preserve"> </w:t>
      </w:r>
    </w:p>
    <w:p w14:paraId="7767E01C" w14:textId="485029F8" w:rsidR="697DA1A5" w:rsidRDefault="31F81F0C" w:rsidP="200C443E">
      <w:pPr>
        <w:pStyle w:val="ListParagraph"/>
        <w:widowControl w:val="0"/>
        <w:numPr>
          <w:ilvl w:val="0"/>
          <w:numId w:val="1"/>
        </w:numPr>
        <w:spacing w:before="180" w:after="0" w:line="276" w:lineRule="auto"/>
      </w:pPr>
      <w:r>
        <w:t xml:space="preserve">As cores podem ter pouco contraste em algumas páginas.</w:t>
      </w:r>
    </w:p>
    <w:p w14:paraId="02014850" w14:textId="3C6B2681" w:rsidR="00F1088A" w:rsidRPr="00AF1993" w:rsidRDefault="114595CF" w:rsidP="200C443E">
      <w:pPr>
        <w:pStyle w:val="ListParagraph"/>
        <w:widowControl w:val="0"/>
        <w:numPr>
          <w:ilvl w:val="0"/>
          <w:numId w:val="1"/>
        </w:numPr>
        <w:spacing w:after="0"/>
        <w:jc w:val="left"/>
      </w:pPr>
      <w:r>
        <w:t xml:space="preserve">Algumas funcionalidades não estão acessíveis ou têm uma acessibilidade limitada (pouco destaque) para os utilizadores que utilizam apenas o teclado.</w:t>
      </w:r>
    </w:p>
    <w:p w14:paraId="53F04822" w14:textId="5AF5DBE1" w:rsidR="00D924E7" w:rsidRDefault="114595CF" w:rsidP="200C443E">
      <w:pPr>
        <w:pStyle w:val="ListParagraph"/>
        <w:widowControl w:val="0"/>
        <w:numPr>
          <w:ilvl w:val="0"/>
          <w:numId w:val="1"/>
        </w:numPr>
        <w:spacing w:after="0"/>
        <w:jc w:val="left"/>
      </w:pPr>
      <w:r>
        <w:t xml:space="preserve">A maioria dos elementos visuais não tem texto alternativo com a sua descrição na língua correspondente.</w:t>
      </w:r>
    </w:p>
    <w:p w14:paraId="35CC691A" w14:textId="24189EB3" w:rsidR="00EC59D7" w:rsidRPr="00AF1993" w:rsidRDefault="350041B7" w:rsidP="200C443E">
      <w:pPr>
        <w:pStyle w:val="ListParagraph"/>
        <w:widowControl w:val="0"/>
        <w:numPr>
          <w:ilvl w:val="0"/>
          <w:numId w:val="1"/>
        </w:numPr>
        <w:spacing w:after="0"/>
        <w:jc w:val="left"/>
      </w:pPr>
      <w:r>
        <w:t xml:space="preserve">Alguns campos não possuem etiquetas para permitir o funcionamento de leitores de ecrã ou tecnologias de apoio semelhantes.</w:t>
      </w:r>
    </w:p>
    <w:p w14:paraId="2160CF67" w14:textId="1842C882" w:rsidR="00D924E7" w:rsidRPr="00AF1993" w:rsidRDefault="114595CF" w:rsidP="200C443E">
      <w:pPr>
        <w:pStyle w:val="ListParagraph"/>
        <w:widowControl w:val="0"/>
        <w:numPr>
          <w:ilvl w:val="0"/>
          <w:numId w:val="1"/>
        </w:numPr>
        <w:spacing w:after="0"/>
        <w:jc w:val="left"/>
      </w:pPr>
      <w:r>
        <w:t xml:space="preserve">Algumas mensagens de erro não estão associadas aos controlos de formulários de forma clara.</w:t>
      </w:r>
    </w:p>
    <w:p w14:paraId="1A015EAA" w14:textId="34A2DFAA" w:rsidR="00D924E7" w:rsidRDefault="114595CF" w:rsidP="200C443E">
      <w:pPr>
        <w:pStyle w:val="ListParagraph"/>
        <w:widowControl w:val="0"/>
        <w:numPr>
          <w:ilvl w:val="0"/>
          <w:numId w:val="1"/>
        </w:numPr>
        <w:spacing w:after="0"/>
        <w:jc w:val="left"/>
      </w:pPr>
      <w:r>
        <w:t xml:space="preserve">Alguns documentos estão em formato PDF e não estão acessíveis.</w:t>
      </w:r>
    </w:p>
    <w:p w14:paraId="080F47A3" w14:textId="035BC469" w:rsidR="00AC4598" w:rsidRDefault="114595CF" w:rsidP="200C443E">
      <w:pPr>
        <w:pStyle w:val="ListParagraph"/>
        <w:widowControl w:val="0"/>
        <w:numPr>
          <w:ilvl w:val="0"/>
          <w:numId w:val="1"/>
        </w:numPr>
        <w:spacing w:after="0"/>
        <w:jc w:val="left"/>
      </w:pPr>
      <w:r>
        <w:t xml:space="preserve">Algumas páginas não estão totalmente adaptadas para os leitores de ecrã ou tecnologias de apoio semelhantes.</w:t>
      </w:r>
    </w:p>
    <w:p w14:paraId="18FF54C3" w14:textId="2C0A54B5" w:rsidR="00AC4598" w:rsidRDefault="114595CF" w:rsidP="200C443E">
      <w:pPr>
        <w:pStyle w:val="ListParagraph"/>
        <w:widowControl w:val="0"/>
        <w:numPr>
          <w:ilvl w:val="0"/>
          <w:numId w:val="1"/>
        </w:numPr>
        <w:spacing w:after="0"/>
        <w:jc w:val="left"/>
      </w:pPr>
      <w:r>
        <w:t xml:space="preserve">Alguns cabeçalhos não estão estruturados corretamente para as tecnologias de apoio.</w:t>
      </w:r>
    </w:p>
    <w:p w14:paraId="2AE23792" w14:textId="6B0D5125" w:rsidR="00896DC0" w:rsidRDefault="407DE4EE" w:rsidP="200C443E">
      <w:pPr>
        <w:pStyle w:val="ListParagraph"/>
        <w:widowControl w:val="0"/>
        <w:numPr>
          <w:ilvl w:val="0"/>
          <w:numId w:val="1"/>
        </w:numPr>
        <w:spacing w:after="0"/>
        <w:jc w:val="left"/>
      </w:pPr>
      <w:r>
        <w:t xml:space="preserve">Algumas páginas têm elementos de conteúdo, como quadros e menus laterais, que podem não ser acessíveis.</w:t>
      </w:r>
    </w:p>
    <w:p w14:paraId="6CF69CF9" w14:textId="1E9D0B6C" w:rsidR="00896DC0" w:rsidRDefault="407DE4EE">
      <w:pPr>
        <w:pStyle w:val="ListParagraph"/>
        <w:widowControl w:val="0"/>
        <w:numPr>
          <w:ilvl w:val="0"/>
          <w:numId w:val="1"/>
        </w:numPr>
        <w:spacing w:after="0"/>
        <w:jc w:val="left"/>
      </w:pPr>
      <w:r>
        <w:t xml:space="preserve">Os nomes de alguns URL não são descritivos ou não estão corretos.</w:t>
      </w:r>
    </w:p>
    <w:p w14:paraId="427C5223" w14:textId="1EB5E7DE" w:rsidR="00BE0E7F" w:rsidRDefault="0803AE8C" w:rsidP="200C443E">
      <w:pPr>
        <w:pStyle w:val="ListParagraph"/>
        <w:widowControl w:val="0"/>
        <w:numPr>
          <w:ilvl w:val="0"/>
          <w:numId w:val="1"/>
        </w:numPr>
        <w:spacing w:after="0"/>
        <w:jc w:val="left"/>
      </w:pPr>
      <w:r>
        <w:t xml:space="preserve">Alguns elementos não estão totalmente adaptados para proporcionar acessibilidade em dispositivos móveis.</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Página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de </w:t>
            </w:r>
            <w:r>
              <w:rPr>
                <w:b/>
                <w:color w:val="2B579A"/>
                <w:sz w:val="24"/>
                <w:shd w:val="clear" w:color="auto" w:fill="E6E6E6"/>
              </w:rPr>
              <w:fldChar w:fldCharType="begin" w:dirty="true"/>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odapé da CE - Formato normalizado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954723">
        <w:pPr>
          <w:pStyle w:val="Footer"/>
        </w:pPr>
        <w:sdt>
          <w:sdtPr>
            <w:id w:val="-1245179179"/>
            <w:dataBinding w:xpath="/Author/Addresses/Address[Id = 'f03b5801-04c9-4931-aa17-c6d6c70bc579']/Footer" w:storeItemID="{EBD4A2BB-D3C2-4E81-B1F9-6FB82AC3CEB9}"/>
            <w:text w:multiLine="1"/>
          </w:sdtPr>
          <w:sdtEndPr/>
          <w:sdtContent>
            <w:r>
              <w:t xml:space="preserve">Commission européenne/Europese Commissie, 1049 Bruxelles/Brussel, BÉLGICA - Tel. +32 22991111</w:t>
            </w:r>
          </w:sdtContent>
        </w:sdt>
      </w:p>
      <w:p w14:paraId="4B889E1A" w14:textId="5AE6768E" w:rsidR="00EC7351" w:rsidRDefault="00954723">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t xml:space="preserve">     </w:t>
            </w:r>
          </w:sdtContent>
        </w:sdt>
      </w:p>
      <w:p w14:paraId="532621B0" w14:textId="77777777" w:rsidR="00EC7351" w:rsidRDefault="00954723">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proofState w:spelling="dirty"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pt-PT"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en/about-europass/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COMISSÃO EUROPEIA</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DIREÇÃO-GERAL do emprego, dos assuntos sociais e da inclusão</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Direção E – Mobilidade dos Trabalhadores e Assuntos Internacionais</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Unidade E1 – Mobilidade Laboral, Serviços Públicos de Emprego, AET</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BÉLGICA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599</Words>
  <Characters>3420</Characters>
  <Application>Microsoft Office Word</Application>
  <DocSecurity>0</DocSecurity>
  <PresentationFormat>Microsoft Word 14.0</PresentationFormat>
  <Lines>28</Lines>
  <Paragraphs>8</Paragraphs>
  <ScaleCrop>true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SUNDARA SEGARAN Maxine (EMPL-EXT)</cp:lastModifiedBy>
  <cp:revision>2</cp:revision>
  <cp:lastPrinted>2021-10-25T20:16:00Z</cp:lastPrinted>
  <dcterms:created xsi:type="dcterms:W3CDTF">2024-01-09T14:21:00Z</dcterms:created>
  <dcterms:modified xsi:type="dcterms:W3CDTF">2024-01-09T14:21:00Z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