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abellen indeholder Europa-Kommissionens logo i venstre kolonne og information om underskriverens eller forfatterens enhed i organisationen i højre kolonne."/>
      </w:tblPr>
      <w:tblGrid>
        <w:gridCol w:w="2400"/>
        <w:gridCol w:w="7080"/>
      </w:tblGrid>
      <w:sdt>
        <w:sdtPr>
          <w:rPr>
            <w:sz w:val="16"/>
          </w:rPr>
          <w:alias w:val="Europa-Kommissionens standardsidehove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color w:val="2B579A"/>
                    <w:shd w:val="clear" w:color="auto" w:fill="E6E6E6"/>
                  </w:rPr>
                  <w:drawing>
                    <wp:inline distT="0" distB="0" distL="0" distR="0" wp14:anchorId="528B0FAA" wp14:editId="3BE4CA6B">
                      <wp:extent cx="1371600" cy="676800"/>
                      <wp:effectExtent l="0" t="0" r="0" b="0"/>
                      <wp:docPr id="1" name="Picture 1" descr="Europa-Kommissionens logo, 12 gule stjerner i en cirkel på en blå baggrund, der er indrammet af to lysegrå grafiske elementer, som forestiller Europa-Kommissionens hovedsæde, Berlaymont-byg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954723">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t xml:space="preserve">EUROPA-KOMMISSIONEN</w:t>
                    </w:r>
                  </w:sdtContent>
                </w:sdt>
              </w:p>
              <w:p w14:paraId="2074A464" w14:textId="39B41681" w:rsidR="00FE373C" w:rsidRPr="007F14FC" w:rsidRDefault="00954723">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Pr>
                        <w:caps/>
                      </w:rPr>
                      <w:t xml:space="preserve">GENERALDIREKTORATET for Beskæftigelse, Sociale Anliggender, Arbejdsmarkedsforhold og Inklusion</w:t>
                    </w:r>
                  </w:sdtContent>
                </w:sdt>
              </w:p>
              <w:p w14:paraId="35D34AB3" w14:textId="77777777" w:rsidR="00FE373C" w:rsidRPr="007F14FC" w:rsidRDefault="00FE373C">
                <w:pPr>
                  <w:pStyle w:val="ZDGName"/>
                </w:pPr>
              </w:p>
              <w:p w14:paraId="05E57B9D" w14:textId="4CD0133A" w:rsidR="00FE373C" w:rsidRPr="007F14FC" w:rsidRDefault="00954723">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t xml:space="preserve">Direktorat E Arbejdskraftens mobilitet og internationale anliggender</w:t>
                    </w:r>
                  </w:sdtContent>
                </w:sdt>
              </w:p>
              <w:p w14:paraId="4FC3ED8E" w14:textId="657E7308" w:rsidR="00FE373C" w:rsidRPr="007F14FC" w:rsidRDefault="00954723"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Pr>
                        <w:b/>
                      </w:rPr>
                      <w:t xml:space="preserve">Kontor E1, Arbejdskraftmobilitet, offentlige arbejdsformidlinger, Den Europæiske Arbejdsmarkedsmyndighed</w:t>
                    </w:r>
                  </w:sdtContent>
                </w:sdt>
              </w:p>
            </w:tc>
          </w:tr>
        </w:sdtContent>
      </w:sdt>
    </w:tbl>
    <w:p w14:paraId="40810E1C" w14:textId="615BFA28" w:rsidR="007F14FC" w:rsidRPr="00B95F32" w:rsidRDefault="007F14FC" w:rsidP="001F4C2B">
      <w:pPr>
        <w:pStyle w:val="Heading2"/>
      </w:pPr>
      <w:r>
        <w:t xml:space="preserve">Tilgængelighedserklæring for Europass</w:t>
      </w:r>
    </w:p>
    <w:p w14:paraId="4078DA32" w14:textId="740123A6" w:rsidR="007F14FC" w:rsidRPr="007F14FC" w:rsidRDefault="35E89FFF" w:rsidP="007F14FC">
      <w:pPr>
        <w:pStyle w:val="Text1"/>
        <w:ind w:left="0"/>
      </w:pPr>
      <w:r>
        <w:t xml:space="preserve">Denne erklæring gælder for indhold, der offentliggøres på domænet:</w:t>
      </w:r>
      <w:r>
        <w:t xml:space="preserve"> </w:t>
      </w:r>
      <w:hyperlink r:id="rId12">
        <w:r>
          <w:rPr>
            <w:rStyle w:val="Hyperlink"/>
          </w:rPr>
          <w:t xml:space="preserve">https://europa.eu/europass</w:t>
        </w:r>
      </w:hyperlink>
      <w:r>
        <w:t xml:space="preserve"> og et hvilket som helst af dets underdomæner.</w:t>
      </w:r>
      <w:r>
        <w:t xml:space="preserve"> </w:t>
      </w:r>
    </w:p>
    <w:p w14:paraId="54D3743B" w14:textId="6748B4D5" w:rsidR="007F14FC" w:rsidRPr="007F14FC" w:rsidRDefault="35E89FFF" w:rsidP="007F14FC">
      <w:pPr>
        <w:pStyle w:val="Text1"/>
        <w:ind w:left="0"/>
      </w:pPr>
      <w:r>
        <w:t xml:space="preserve">Dette websted forvaltes af GD EMPL, kontor E1.</w:t>
      </w:r>
      <w:r>
        <w:t xml:space="preserve"> </w:t>
      </w:r>
      <w:r>
        <w:t xml:space="preserve">Det er udformet, så det kan bruges af så mange mennesker som muligt, bl.a. personer med handicap.</w:t>
      </w:r>
    </w:p>
    <w:p w14:paraId="4F1ECE61" w14:textId="77777777" w:rsidR="00E35A7A" w:rsidRPr="007F14FC" w:rsidRDefault="00E35A7A" w:rsidP="00E35A7A">
      <w:r>
        <w:t xml:space="preserve">Brugerne skal kunne:</w:t>
      </w:r>
    </w:p>
    <w:p w14:paraId="1F89F2F7" w14:textId="14FAC846" w:rsidR="00225512" w:rsidRPr="00AF1993" w:rsidRDefault="00AC4598" w:rsidP="009D007D">
      <w:pPr>
        <w:pStyle w:val="ListParagraph"/>
        <w:numPr>
          <w:ilvl w:val="0"/>
          <w:numId w:val="38"/>
        </w:numPr>
      </w:pPr>
      <w:r>
        <w:t xml:space="preserve">zoome op til 200 % uden problemer</w:t>
      </w:r>
    </w:p>
    <w:p w14:paraId="0A3AB54A" w14:textId="77777777" w:rsidR="00225512" w:rsidRPr="00AF1993" w:rsidRDefault="00225512" w:rsidP="00225512">
      <w:pPr>
        <w:pStyle w:val="ListParagraph"/>
        <w:numPr>
          <w:ilvl w:val="0"/>
          <w:numId w:val="38"/>
        </w:numPr>
      </w:pPr>
      <w:r>
        <w:t xml:space="preserve">navigere rundt på det meste af webstedet kun ved brug af tastaturet</w:t>
      </w:r>
    </w:p>
    <w:p w14:paraId="520AE6B3" w14:textId="105D7D13" w:rsidR="000126E5" w:rsidRPr="00AF1993" w:rsidRDefault="00225512" w:rsidP="009D007D">
      <w:pPr>
        <w:pStyle w:val="ListParagraph"/>
        <w:numPr>
          <w:ilvl w:val="0"/>
          <w:numId w:val="33"/>
        </w:numPr>
      </w:pPr>
      <w:r>
        <w:t xml:space="preserve">navigere rundt på det meste af webstedet ved hjælp af en moderne skærmlæser og talegenkendelsessoftware (på en computer eller telefon)</w:t>
      </w:r>
      <w:r>
        <w:t xml:space="preserve"> </w:t>
      </w:r>
    </w:p>
    <w:p w14:paraId="1A4510C6" w14:textId="3A06EEAA" w:rsidR="00E35A7A" w:rsidRPr="007F14FC" w:rsidRDefault="00E35A7A" w:rsidP="000126E5">
      <w:r>
        <w:t xml:space="preserve">Dette websted er udformet i overensstemmelse med den </w:t>
      </w:r>
      <w:hyperlink r:id="rId13">
        <w:r>
          <w:rPr>
            <w:color w:val="0563C1" w:themeColor="hyperlink"/>
            <w:u w:val="single"/>
          </w:rPr>
          <w:t xml:space="preserve">tekniske standard for websteder og mobilapps, EN 301 549, v.3.2.1</w:t>
        </w:r>
      </w:hyperlink>
      <w:r>
        <w:t xml:space="preserve">.</w:t>
      </w:r>
      <w:r>
        <w:t xml:space="preserve"> </w:t>
      </w:r>
      <w:r>
        <w:t xml:space="preserve">Det følger nøje niveau "AA" i </w:t>
      </w:r>
      <w:hyperlink r:id="rId14">
        <w:r>
          <w:rPr>
            <w:color w:val="0563C1" w:themeColor="hyperlink"/>
            <w:u w:val="single"/>
          </w:rPr>
          <w:t xml:space="preserve">Web Content Accessibility Guidelines (WCAG) version 2.1</w:t>
        </w:r>
      </w:hyperlink>
      <w:r>
        <w:t xml:space="preserve">.</w:t>
      </w:r>
    </w:p>
    <w:p w14:paraId="66A12D4E" w14:textId="77777777" w:rsidR="00E35A7A" w:rsidRPr="00E35A7A" w:rsidRDefault="00E35A7A" w:rsidP="00E35A7A">
      <w:pPr>
        <w:keepNext/>
        <w:spacing w:after="0"/>
        <w:jc w:val="left"/>
        <w:outlineLvl w:val="1"/>
        <w:rPr>
          <w:b/>
        </w:rPr>
      </w:pPr>
      <w:r>
        <w:rPr>
          <w:b/>
        </w:rPr>
        <w:t xml:space="preserve">Overensstemmelsesstatus</w:t>
      </w:r>
      <w:r>
        <w:rPr>
          <w:b/>
        </w:rPr>
        <w:br/>
      </w:r>
    </w:p>
    <w:p w14:paraId="66C3D011" w14:textId="6AC3AC33" w:rsidR="00225512" w:rsidRPr="00E84E56" w:rsidRDefault="0AC43EA8" w:rsidP="00225512">
      <w:r>
        <w:t xml:space="preserve">Dette websted er delvist i </w:t>
      </w:r>
      <w:r>
        <w:rPr>
          <w:b/>
        </w:rPr>
        <w:t xml:space="preserve">overensstemmelse</w:t>
      </w:r>
      <w:r>
        <w:t xml:space="preserve"> med </w:t>
      </w:r>
      <w:hyperlink r:id="rId15">
        <w:r>
          <w:rPr>
            <w:rStyle w:val="Hyperlink"/>
          </w:rPr>
          <w:t xml:space="preserve">den tekniske standard EN 301 549 v.3.2.1</w:t>
        </w:r>
      </w:hyperlink>
      <w:r>
        <w:t xml:space="preserve"> og </w:t>
      </w:r>
      <w:hyperlink r:id="rId16">
        <w:r>
          <w:rPr>
            <w:rStyle w:val="Hyperlink"/>
          </w:rPr>
          <w:t xml:space="preserve">Web Content Accessibility Guidelines (WCAG) 2.1 niveau AA</w:t>
        </w:r>
      </w:hyperlink>
      <w:r>
        <w:t xml:space="preserve">.</w:t>
      </w:r>
      <w:r>
        <w:t xml:space="preserve"> </w:t>
      </w:r>
      <w:r>
        <w:t xml:space="preserve">Du kan læse mere under "</w:t>
      </w:r>
      <w:hyperlink w:anchor="_Non-accessible_content">
        <w:r>
          <w:rPr>
            <w:rStyle w:val="Hyperlink"/>
          </w:rPr>
          <w:t xml:space="preserve">Ikketilgængeligt indhold</w:t>
        </w:r>
      </w:hyperlink>
      <w:r>
        <w:t xml:space="preserve">".</w:t>
      </w:r>
    </w:p>
    <w:p w14:paraId="4146F897" w14:textId="0C4BE212" w:rsidR="00E35A7A" w:rsidRPr="007F14FC" w:rsidRDefault="00E35A7A" w:rsidP="00E35A7A">
      <w:r>
        <w:t xml:space="preserve">Webstedet blev sidst testet i april 2023.</w:t>
      </w:r>
    </w:p>
    <w:p w14:paraId="5ABBA2F4" w14:textId="77777777" w:rsidR="00E35A7A" w:rsidRPr="00E35A7A" w:rsidRDefault="00E35A7A" w:rsidP="00E35A7A">
      <w:pPr>
        <w:keepNext/>
        <w:spacing w:after="0"/>
        <w:jc w:val="left"/>
        <w:outlineLvl w:val="1"/>
        <w:rPr>
          <w:b/>
        </w:rPr>
      </w:pPr>
      <w:r>
        <w:rPr>
          <w:b/>
        </w:rPr>
        <w:t xml:space="preserve">Udarbejdelsen af denne erklæring</w:t>
      </w:r>
    </w:p>
    <w:p w14:paraId="6B674C45" w14:textId="4612CB79" w:rsidR="00E35A7A" w:rsidRDefault="00E35A7A" w:rsidP="00E35A7A">
      <w:r>
        <w:br/>
      </w:r>
      <w:r>
        <w:t xml:space="preserve">Denne erklæring blev revideret den 15.12.2023.</w:t>
      </w:r>
    </w:p>
    <w:p w14:paraId="2918FEE8" w14:textId="77777777" w:rsidR="00E35A7A" w:rsidRPr="00E35A7A" w:rsidRDefault="00E35A7A" w:rsidP="00E35A7A">
      <w:pPr>
        <w:keepNext/>
        <w:spacing w:after="0"/>
        <w:jc w:val="left"/>
        <w:outlineLvl w:val="1"/>
        <w:rPr>
          <w:b/>
        </w:rPr>
      </w:pPr>
      <w:r>
        <w:rPr>
          <w:b/>
        </w:rPr>
        <w:t xml:space="preserve">Feedback</w:t>
      </w:r>
    </w:p>
    <w:p w14:paraId="3EF7E625" w14:textId="563019B3" w:rsidR="00E35A7A" w:rsidRPr="007F14FC" w:rsidRDefault="00E35A7A" w:rsidP="00E35A7A">
      <w:r>
        <w:br/>
      </w:r>
      <w:r>
        <w:t xml:space="preserve">Hvad synes du om tilgængeligheden af Europass' websted?</w:t>
      </w:r>
      <w:r>
        <w:t xml:space="preserve"> </w:t>
      </w:r>
      <w:r>
        <w:t xml:space="preserve">Hvis du støder på problemer, kan du kontakte os via</w:t>
      </w:r>
    </w:p>
    <w:p w14:paraId="4744E771" w14:textId="5A871DF4" w:rsidR="00E35A7A" w:rsidRPr="00EC59D7" w:rsidRDefault="00225512" w:rsidP="009D007D">
      <w:pPr>
        <w:numPr>
          <w:ilvl w:val="0"/>
          <w:numId w:val="23"/>
        </w:numPr>
        <w:ind w:left="720"/>
      </w:pPr>
      <w:r>
        <w:t xml:space="preserve">telefon:</w:t>
      </w:r>
      <w:r>
        <w:t xml:space="preserve"> </w:t>
      </w:r>
      <w:r>
        <w:rPr>
          <w:b/>
        </w:rPr>
        <w:t xml:space="preserve">00 800 6 7 8 9 10 11</w:t>
      </w:r>
      <w:r>
        <w:t xml:space="preserve"> fra et hvilket som helst sted i EU på hverdage fra 9.00 til 18. 00 dansk tid på et hvilket som helst EU-sprog * (opkaldet er gratis).</w:t>
      </w:r>
      <w:r>
        <w:t xml:space="preserve"> </w:t>
      </w:r>
    </w:p>
    <w:p w14:paraId="6EAA89C5" w14:textId="3B41C853" w:rsidR="00EC59D7" w:rsidRPr="00EC59D7" w:rsidRDefault="00E35A7A" w:rsidP="5AC6E6F2">
      <w:pPr>
        <w:numPr>
          <w:ilvl w:val="0"/>
          <w:numId w:val="23"/>
        </w:numPr>
        <w:ind w:left="720"/>
        <w:rPr>
          <w:rStyle w:val="Hyperlink"/>
        </w:rPr>
      </w:pPr>
      <w:r>
        <w:t xml:space="preserve">feebackformularen på:</w:t>
      </w:r>
      <w:r>
        <w:t xml:space="preserve"> </w:t>
      </w:r>
      <w:hyperlink r:id="rId17">
        <w:r>
          <w:rPr>
            <w:rStyle w:val="Hyperlink"/>
          </w:rPr>
          <w:t xml:space="preserve">Europass contact form</w:t>
        </w:r>
      </w:hyperlink>
    </w:p>
    <w:p w14:paraId="73D4BBF7" w14:textId="5F54F931" w:rsidR="00E35A7A" w:rsidRDefault="00E35A7A" w:rsidP="00EC59D7">
      <w:r>
        <w:t xml:space="preserve">Vi forsøger at reagere på feedback inden for 15 hverdage fra datoen for modtagelsen af forespørgslen i den ansvarlige afdeling i Kommissionen.</w:t>
      </w:r>
    </w:p>
    <w:p w14:paraId="433BF82E" w14:textId="77777777" w:rsidR="00EC7351" w:rsidRPr="00EC7351" w:rsidRDefault="00EC7351" w:rsidP="00EC7351">
      <w:pPr>
        <w:keepNext/>
        <w:spacing w:after="0"/>
        <w:jc w:val="left"/>
        <w:outlineLvl w:val="1"/>
        <w:rPr>
          <w:b/>
        </w:rPr>
      </w:pPr>
      <w:r>
        <w:rPr>
          <w:b/>
        </w:rPr>
        <w:t xml:space="preserve">Kompatibilitet med browsere og hjælpeteknologier</w:t>
      </w:r>
    </w:p>
    <w:p w14:paraId="6EACC384" w14:textId="0AEFAC39" w:rsidR="00EC7351" w:rsidRPr="007F14FC" w:rsidRDefault="00EC7351" w:rsidP="00EC7351">
      <w:pPr>
        <w:jc w:val="left"/>
      </w:pPr>
      <w:r>
        <w:br/>
      </w:r>
      <w:r>
        <w:t xml:space="preserve">The Europass website is designed to be compatible with the following most used assistive technologies:</w:t>
      </w:r>
    </w:p>
    <w:p w14:paraId="1F6174D7" w14:textId="6B07A09C" w:rsidR="000338C5" w:rsidRPr="0052454F" w:rsidRDefault="5DCDB69A" w:rsidP="35D7FFF2">
      <w:pPr>
        <w:numPr>
          <w:ilvl w:val="0"/>
          <w:numId w:val="34"/>
        </w:numPr>
        <w:spacing w:after="100" w:afterAutospacing="1"/>
        <w:jc w:val="left"/>
      </w:pPr>
      <w:r>
        <w:t xml:space="preserve">den seneste version af browserne Google Chrome, Microsoft Edge og Mozilla Firefox</w:t>
      </w:r>
    </w:p>
    <w:p w14:paraId="3239328D" w14:textId="709706EC" w:rsidR="00785A54" w:rsidRDefault="5DCDB69A" w:rsidP="35D7FFF2">
      <w:pPr>
        <w:numPr>
          <w:ilvl w:val="0"/>
          <w:numId w:val="34"/>
        </w:numPr>
        <w:spacing w:before="100" w:beforeAutospacing="1" w:after="100" w:afterAutospacing="1"/>
        <w:jc w:val="left"/>
      </w:pPr>
      <w:r>
        <w:t xml:space="preserve"> </w:t>
      </w:r>
      <w:r>
        <w:t xml:space="preserve">de seneste versioner af forskellige hjælpeteknologier.</w:t>
      </w:r>
      <w:r>
        <w:t xml:space="preserv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 xml:space="preserve">Tekniske specifikationer</w:t>
      </w:r>
    </w:p>
    <w:p w14:paraId="56C786BB" w14:textId="77777777" w:rsidR="005A7954" w:rsidRDefault="005A7954" w:rsidP="00EC7351"/>
    <w:p w14:paraId="424F62F5" w14:textId="42F9DF13" w:rsidR="00EC7351" w:rsidRPr="007F14FC" w:rsidRDefault="00EC7351" w:rsidP="00EC7351">
      <w:r>
        <w:t xml:space="preserve">Adgangen til webstedet "Europass" er afhængigt af følgende teknologier for at kunne fungere med den særlige kombination af webbrowser og eventuelle hjælpeteknologier eller plugins på din computer:</w:t>
      </w:r>
    </w:p>
    <w:p w14:paraId="7A942931" w14:textId="77777777" w:rsidR="00EC7351" w:rsidRPr="007F14FC" w:rsidRDefault="00EC7351" w:rsidP="00EC7351">
      <w:pPr>
        <w:numPr>
          <w:ilvl w:val="0"/>
          <w:numId w:val="26"/>
        </w:numPr>
        <w:spacing w:after="0"/>
        <w:ind w:left="1077" w:hanging="357"/>
      </w:pPr>
      <w:r>
        <w:t xml:space="preserve">HTML</w:t>
      </w:r>
    </w:p>
    <w:p w14:paraId="20FD34FD" w14:textId="77777777" w:rsidR="00EC7351" w:rsidRPr="007F14FC" w:rsidRDefault="00EC7351" w:rsidP="00EC7351">
      <w:pPr>
        <w:numPr>
          <w:ilvl w:val="0"/>
          <w:numId w:val="26"/>
        </w:numPr>
        <w:spacing w:after="0"/>
        <w:ind w:left="1077" w:hanging="357"/>
      </w:pPr>
      <w:r>
        <w:t xml:space="preserve">WAI-ARIA</w:t>
      </w:r>
    </w:p>
    <w:p w14:paraId="2CE68EE0" w14:textId="77777777" w:rsidR="00EC7351" w:rsidRPr="007F14FC" w:rsidRDefault="00EC7351" w:rsidP="00EC7351">
      <w:pPr>
        <w:numPr>
          <w:ilvl w:val="0"/>
          <w:numId w:val="26"/>
        </w:numPr>
        <w:spacing w:after="0"/>
        <w:ind w:left="1077" w:hanging="357"/>
      </w:pPr>
      <w:r>
        <w:t xml:space="preserve">CSS</w:t>
      </w:r>
    </w:p>
    <w:p w14:paraId="2403ED5C" w14:textId="77777777" w:rsidR="00EC7351" w:rsidRPr="007F14FC" w:rsidRDefault="00EC7351" w:rsidP="00EC7351">
      <w:pPr>
        <w:numPr>
          <w:ilvl w:val="0"/>
          <w:numId w:val="26"/>
        </w:numPr>
        <w:spacing w:after="0"/>
        <w:ind w:left="1077" w:hanging="357"/>
      </w:pPr>
      <w:r>
        <w:t xml:space="preserve">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 xml:space="preserve">Ikketilgængeligt indhold</w:t>
      </w:r>
    </w:p>
    <w:p w14:paraId="65E180EF" w14:textId="5B05AFB9" w:rsidR="00EC7351" w:rsidRDefault="755E7800" w:rsidP="5AC6E6F2">
      <w:pPr>
        <w:spacing w:before="180" w:line="276" w:lineRule="auto"/>
      </w:pPr>
      <w:r>
        <w:t xml:space="preserve">Selv om vi er fast besluttet på at sikre tilgængeligheden af Europass-webstedet, er der kendte begrænsninger, som vi er i gang med at rette op på.</w:t>
      </w:r>
      <w:r>
        <w:t xml:space="preserve"> </w:t>
      </w:r>
      <w:r>
        <w:t xml:space="preserve">Vi sætter pris på din forståelse og tålmodighed, indtil vi har løst disse problemer.</w:t>
      </w:r>
      <w:r>
        <w:t xml:space="preserve"> </w:t>
      </w:r>
      <w:r>
        <w:t xml:space="preserve">Hvis du støder på et problem med tilgængelighed, der ikke er anført nedenfor, beder vi dig kontakte os.</w:t>
      </w:r>
    </w:p>
    <w:p w14:paraId="7912D527" w14:textId="3097ED04" w:rsidR="697DA1A5" w:rsidRDefault="160C0568" w:rsidP="200C443E">
      <w:pPr>
        <w:widowControl w:val="0"/>
        <w:spacing w:before="180" w:after="0" w:line="276" w:lineRule="auto"/>
      </w:pPr>
      <w:r>
        <w:rPr>
          <w:b/>
        </w:rPr>
        <w:t xml:space="preserve"> </w:t>
      </w:r>
      <w:r>
        <w:rPr>
          <w:b/>
        </w:rPr>
        <w:t xml:space="preserve">Kendte begrænsninger</w:t>
      </w:r>
      <w:r>
        <w:t xml:space="preserve"> (forventes løst ved udgangen af 2024:</w:t>
      </w:r>
      <w:r>
        <w:t xml:space="preserve"> </w:t>
      </w:r>
    </w:p>
    <w:p w14:paraId="7767E01C" w14:textId="485029F8" w:rsidR="697DA1A5" w:rsidRDefault="31F81F0C" w:rsidP="200C443E">
      <w:pPr>
        <w:pStyle w:val="ListParagraph"/>
        <w:widowControl w:val="0"/>
        <w:numPr>
          <w:ilvl w:val="0"/>
          <w:numId w:val="1"/>
        </w:numPr>
        <w:spacing w:before="180" w:after="0" w:line="276" w:lineRule="auto"/>
      </w:pPr>
      <w:r>
        <w:t xml:space="preserve">Nogle sider har ringe farvekontrast</w:t>
      </w:r>
    </w:p>
    <w:p w14:paraId="02014850" w14:textId="3C6B2681" w:rsidR="00F1088A" w:rsidRPr="00AF1993" w:rsidRDefault="114595CF" w:rsidP="200C443E">
      <w:pPr>
        <w:pStyle w:val="ListParagraph"/>
        <w:widowControl w:val="0"/>
        <w:numPr>
          <w:ilvl w:val="0"/>
          <w:numId w:val="1"/>
        </w:numPr>
        <w:spacing w:after="0"/>
        <w:jc w:val="left"/>
      </w:pPr>
      <w:r>
        <w:t xml:space="preserve">Nogle funktioner er ikke tilgængelige eller har begrænset tilgængelighed (lavt fokus) for brugere, der kun bruger tastatur.</w:t>
      </w:r>
    </w:p>
    <w:p w14:paraId="53F04822" w14:textId="5AF5DBE1" w:rsidR="00D924E7" w:rsidRDefault="114595CF" w:rsidP="200C443E">
      <w:pPr>
        <w:pStyle w:val="ListParagraph"/>
        <w:widowControl w:val="0"/>
        <w:numPr>
          <w:ilvl w:val="0"/>
          <w:numId w:val="1"/>
        </w:numPr>
        <w:spacing w:after="0"/>
        <w:jc w:val="left"/>
      </w:pPr>
      <w:r>
        <w:t xml:space="preserve">De fleste visuelle elementer indeholder ikke alttekstbeskrivelser på det pågældende sprog.</w:t>
      </w:r>
    </w:p>
    <w:p w14:paraId="35CC691A" w14:textId="24189EB3" w:rsidR="00EC59D7" w:rsidRPr="00AF1993" w:rsidRDefault="350041B7" w:rsidP="200C443E">
      <w:pPr>
        <w:pStyle w:val="ListParagraph"/>
        <w:widowControl w:val="0"/>
        <w:numPr>
          <w:ilvl w:val="0"/>
          <w:numId w:val="1"/>
        </w:numPr>
        <w:spacing w:after="0"/>
        <w:jc w:val="left"/>
      </w:pPr>
      <w:r>
        <w:t xml:space="preserve">Nogle felter har ikke links til skærmlæsere eller lignende hjælpeteknologier.</w:t>
      </w:r>
    </w:p>
    <w:p w14:paraId="2160CF67" w14:textId="1842C882" w:rsidR="00D924E7" w:rsidRPr="00AF1993" w:rsidRDefault="114595CF" w:rsidP="200C443E">
      <w:pPr>
        <w:pStyle w:val="ListParagraph"/>
        <w:widowControl w:val="0"/>
        <w:numPr>
          <w:ilvl w:val="0"/>
          <w:numId w:val="1"/>
        </w:numPr>
        <w:spacing w:after="0"/>
        <w:jc w:val="left"/>
      </w:pPr>
      <w:r>
        <w:t xml:space="preserve">Nogle fejlmeddelelser er ikke klart forbundet med det element, som brugeren kontrollerer.</w:t>
      </w:r>
    </w:p>
    <w:p w14:paraId="1A015EAA" w14:textId="34A2DFAA" w:rsidR="00D924E7" w:rsidRDefault="114595CF" w:rsidP="200C443E">
      <w:pPr>
        <w:pStyle w:val="ListParagraph"/>
        <w:widowControl w:val="0"/>
        <w:numPr>
          <w:ilvl w:val="0"/>
          <w:numId w:val="1"/>
        </w:numPr>
        <w:spacing w:after="0"/>
        <w:jc w:val="left"/>
      </w:pPr>
      <w:r>
        <w:t xml:space="preserve">Nogle dokumenter er i PDF-format og er ikke tilgængelige.</w:t>
      </w:r>
    </w:p>
    <w:p w14:paraId="080F47A3" w14:textId="035BC469" w:rsidR="00AC4598" w:rsidRDefault="114595CF" w:rsidP="200C443E">
      <w:pPr>
        <w:pStyle w:val="ListParagraph"/>
        <w:widowControl w:val="0"/>
        <w:numPr>
          <w:ilvl w:val="0"/>
          <w:numId w:val="1"/>
        </w:numPr>
        <w:spacing w:after="0"/>
        <w:jc w:val="left"/>
      </w:pPr>
      <w:r>
        <w:t xml:space="preserve">Nogle sider er ikke fuldt tilpasset til skærmlæsere eller lignende hjælpeteknologier.</w:t>
      </w:r>
    </w:p>
    <w:p w14:paraId="18FF54C3" w14:textId="2C0A54B5" w:rsidR="00AC4598" w:rsidRDefault="114595CF" w:rsidP="200C443E">
      <w:pPr>
        <w:pStyle w:val="ListParagraph"/>
        <w:widowControl w:val="0"/>
        <w:numPr>
          <w:ilvl w:val="0"/>
          <w:numId w:val="1"/>
        </w:numPr>
        <w:spacing w:after="0"/>
        <w:jc w:val="left"/>
      </w:pPr>
      <w:r>
        <w:t xml:space="preserve">Nogle overskrifter er ikke struktureret korrekt til hjælpeteknologier.</w:t>
      </w:r>
    </w:p>
    <w:p w14:paraId="2AE23792" w14:textId="6B0D5125" w:rsidR="00896DC0" w:rsidRDefault="407DE4EE" w:rsidP="200C443E">
      <w:pPr>
        <w:pStyle w:val="ListParagraph"/>
        <w:widowControl w:val="0"/>
        <w:numPr>
          <w:ilvl w:val="0"/>
          <w:numId w:val="1"/>
        </w:numPr>
        <w:spacing w:after="0"/>
        <w:jc w:val="left"/>
      </w:pPr>
      <w:r>
        <w:t xml:space="preserve">Nogle sider har indholdselementer som tabeller og sidemenuer, som ikke i alle tilfælde er tilgængelige.</w:t>
      </w:r>
    </w:p>
    <w:p w14:paraId="6CF69CF9" w14:textId="1E9D0B6C" w:rsidR="00896DC0" w:rsidRDefault="407DE4EE">
      <w:pPr>
        <w:pStyle w:val="ListParagraph"/>
        <w:widowControl w:val="0"/>
        <w:numPr>
          <w:ilvl w:val="0"/>
          <w:numId w:val="1"/>
        </w:numPr>
        <w:spacing w:after="0"/>
        <w:jc w:val="left"/>
      </w:pPr>
      <w:r>
        <w:t xml:space="preserve">Nogle URL'er har ikke forståelige eller korrekte stinavne.</w:t>
      </w:r>
    </w:p>
    <w:p w14:paraId="427C5223" w14:textId="1EB5E7DE" w:rsidR="00BE0E7F" w:rsidRDefault="0803AE8C" w:rsidP="200C443E">
      <w:pPr>
        <w:pStyle w:val="ListParagraph"/>
        <w:widowControl w:val="0"/>
        <w:numPr>
          <w:ilvl w:val="0"/>
          <w:numId w:val="1"/>
        </w:numPr>
        <w:spacing w:after="0"/>
        <w:jc w:val="left"/>
      </w:pPr>
      <w:r>
        <w:t xml:space="preserve">Nogle elementer er ikke fuldt ud tilpasset tilgængelighed på mobile enheder.</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Side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af </w:t>
            </w:r>
            <w:r>
              <w:rPr>
                <w:b/>
                <w:color w:val="2B579A"/>
                <w:sz w:val="24"/>
                <w:shd w:val="clear" w:color="auto" w:fill="E6E6E6"/>
              </w:rPr>
              <w:fldChar w:fldCharType="begin" w:dirty="true"/>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uropa-Kommissionens standardsidefo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954723">
        <w:pPr>
          <w:pStyle w:val="Footer"/>
        </w:pPr>
        <w:sdt>
          <w:sdtPr>
            <w:id w:val="-1245179179"/>
            <w:dataBinding w:xpath="/Author/Addresses/Address[Id = 'f03b5801-04c9-4931-aa17-c6d6c70bc579']/Footer" w:storeItemID="{EBD4A2BB-D3C2-4E81-B1F9-6FB82AC3CEB9}"/>
            <w:text w:multiLine="1"/>
          </w:sdtPr>
          <w:sdtEndPr/>
          <w:sdtContent>
            <w:r>
              <w:t xml:space="preserve">Commission européenne/Europese Commissie, 1049 Bruxelles/Brussel, BELGIQUE/BELGIË - Tel. +32 22991111</w:t>
            </w:r>
          </w:sdtContent>
        </w:sdt>
      </w:p>
      <w:p w14:paraId="4B889E1A" w14:textId="5AE6768E" w:rsidR="00EC7351" w:rsidRDefault="00954723">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t xml:space="preserve">     </w:t>
            </w:r>
          </w:sdtContent>
        </w:sdt>
      </w:p>
      <w:p w14:paraId="532621B0" w14:textId="77777777" w:rsidR="00EC7351" w:rsidRDefault="00954723">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proofState w:spelling="dirty"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da-DK"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en/about-europass/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EUROPA-KOMMISSIONEN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GENERALDIREKTORATET for Beskæftigelse, Sociale Anliggender, Arbejdsmarkedsforhold og Inklusion</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Direktorat E Arbejdskraftens mobilitet og internationale anliggender</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Kontor E1, Arbejdskraftmobilitet, offentlige arbejdsformidlinger, Den Europæiske Arbejdsmarkedsmyndighed</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599</Words>
  <Characters>3420</Characters>
  <Application>Microsoft Office Word</Application>
  <DocSecurity>0</DocSecurity>
  <PresentationFormat>Microsoft Word 14.0</PresentationFormat>
  <Lines>28</Lines>
  <Paragraphs>8</Paragraphs>
  <ScaleCrop>true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SUNDARA SEGARAN Maxine (EMPL-EXT)</cp:lastModifiedBy>
  <cp:revision>2</cp:revision>
  <cp:lastPrinted>2021-10-25T20:16:00Z</cp:lastPrinted>
  <dcterms:created xsi:type="dcterms:W3CDTF">2024-01-09T14:21:00Z</dcterms:created>
  <dcterms:modified xsi:type="dcterms:W3CDTF">2024-01-09T14:21:00Z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